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B17" w:rsidRDefault="00433B17" w:rsidP="00433B17">
      <w:pPr>
        <w:jc w:val="center"/>
      </w:pPr>
      <w:r>
        <w:rPr>
          <w:b/>
          <w:bCs/>
          <w:lang w:eastAsia="ru-RU"/>
        </w:rPr>
        <w:t xml:space="preserve">Техническое задание </w:t>
      </w:r>
    </w:p>
    <w:p w:rsidR="00433B17" w:rsidRDefault="00433B17" w:rsidP="00433B17">
      <w:pPr>
        <w:tabs>
          <w:tab w:val="left" w:pos="567"/>
        </w:tabs>
        <w:jc w:val="both"/>
      </w:pPr>
      <w:r>
        <w:rPr>
          <w:b/>
          <w:u w:val="single"/>
        </w:rPr>
        <w:t>1.Описание услуги:</w:t>
      </w:r>
    </w:p>
    <w:p w:rsidR="00433B17" w:rsidRDefault="00433B17" w:rsidP="00433B17">
      <w:pPr>
        <w:pStyle w:val="ListParagraph"/>
        <w:tabs>
          <w:tab w:val="left" w:pos="567"/>
        </w:tabs>
        <w:ind w:left="0"/>
        <w:jc w:val="both"/>
      </w:pPr>
      <w:proofErr w:type="gramStart"/>
      <w:r>
        <w:t>Принципал поручает, а Агент принимает на себя обязательство за вознаграждение совершить от имени, в пользу и за счет Принципала комплекс юридических и фактических действий, направленных на погашение должниками Принципала просроченной задолженности за жилищно-коммунальные услуги (холодное водоснабжение и водоотведение), в том числе: в досудебном порядке, а также задолженности, по  которой имеются исполнительные документы.</w:t>
      </w:r>
      <w:proofErr w:type="gramEnd"/>
    </w:p>
    <w:p w:rsidR="00433B17" w:rsidRDefault="00433B17" w:rsidP="00433B17">
      <w:pPr>
        <w:tabs>
          <w:tab w:val="left" w:pos="567"/>
        </w:tabs>
      </w:pPr>
      <w:r>
        <w:rPr>
          <w:b/>
        </w:rPr>
        <w:t>Требования к объему оказываемых услуг</w:t>
      </w:r>
    </w:p>
    <w:p w:rsidR="00433B17" w:rsidRDefault="00433B17" w:rsidP="00433B17">
      <w:pPr>
        <w:tabs>
          <w:tab w:val="left" w:pos="567"/>
        </w:tabs>
        <w:rPr>
          <w:b/>
        </w:rPr>
      </w:pPr>
    </w:p>
    <w:tbl>
      <w:tblPr>
        <w:tblW w:w="0" w:type="auto"/>
        <w:tblInd w:w="92" w:type="dxa"/>
        <w:tblLayout w:type="fixed"/>
        <w:tblCellMar>
          <w:left w:w="103" w:type="dxa"/>
        </w:tblCellMar>
        <w:tblLook w:val="0000"/>
      </w:tblPr>
      <w:tblGrid>
        <w:gridCol w:w="594"/>
        <w:gridCol w:w="2926"/>
        <w:gridCol w:w="1293"/>
        <w:gridCol w:w="3067"/>
        <w:gridCol w:w="1820"/>
      </w:tblGrid>
      <w:tr w:rsidR="00433B17" w:rsidTr="000335BB">
        <w:trPr>
          <w:trHeight w:val="788"/>
        </w:trPr>
        <w:tc>
          <w:tcPr>
            <w:tcW w:w="594" w:type="dxa"/>
            <w:vMerge w:val="restart"/>
            <w:tcBorders>
              <w:top w:val="single" w:sz="4" w:space="0" w:color="000000"/>
              <w:left w:val="single" w:sz="4" w:space="0" w:color="000000"/>
              <w:bottom w:val="single" w:sz="4" w:space="0" w:color="000000"/>
            </w:tcBorders>
            <w:shd w:val="clear" w:color="auto" w:fill="auto"/>
            <w:vAlign w:val="center"/>
          </w:tcPr>
          <w:p w:rsidR="00433B17" w:rsidRDefault="00433B17" w:rsidP="000335BB">
            <w:pPr>
              <w:jc w:val="center"/>
            </w:pPr>
            <w:r>
              <w:rPr>
                <w:color w:val="000000"/>
                <w:lang w:eastAsia="ru-RU"/>
              </w:rPr>
              <w:t>п/п</w:t>
            </w:r>
          </w:p>
        </w:tc>
        <w:tc>
          <w:tcPr>
            <w:tcW w:w="2926" w:type="dxa"/>
            <w:vMerge w:val="restart"/>
            <w:tcBorders>
              <w:top w:val="single" w:sz="4" w:space="0" w:color="000000"/>
              <w:left w:val="single" w:sz="4" w:space="0" w:color="000000"/>
              <w:bottom w:val="single" w:sz="4" w:space="0" w:color="000000"/>
            </w:tcBorders>
            <w:shd w:val="clear" w:color="auto" w:fill="auto"/>
            <w:vAlign w:val="center"/>
          </w:tcPr>
          <w:p w:rsidR="00433B17" w:rsidRDefault="00433B17" w:rsidP="000335BB">
            <w:pPr>
              <w:jc w:val="center"/>
            </w:pPr>
            <w:r>
              <w:rPr>
                <w:color w:val="000000"/>
                <w:lang w:eastAsia="ru-RU"/>
              </w:rPr>
              <w:t>Вид услуги</w:t>
            </w:r>
          </w:p>
        </w:tc>
        <w:tc>
          <w:tcPr>
            <w:tcW w:w="1293" w:type="dxa"/>
            <w:tcBorders>
              <w:top w:val="single" w:sz="4" w:space="0" w:color="000000"/>
              <w:left w:val="single" w:sz="4" w:space="0" w:color="000000"/>
              <w:bottom w:val="single" w:sz="4" w:space="0" w:color="000000"/>
            </w:tcBorders>
            <w:shd w:val="clear" w:color="auto" w:fill="auto"/>
            <w:vAlign w:val="center"/>
          </w:tcPr>
          <w:p w:rsidR="00433B17" w:rsidRDefault="00433B17" w:rsidP="000335BB">
            <w:pPr>
              <w:jc w:val="center"/>
            </w:pPr>
            <w:r>
              <w:rPr>
                <w:color w:val="000000"/>
                <w:lang w:eastAsia="ru-RU"/>
              </w:rPr>
              <w:t>Кол-во лицевых счетов*</w:t>
            </w:r>
          </w:p>
        </w:tc>
        <w:tc>
          <w:tcPr>
            <w:tcW w:w="3067" w:type="dxa"/>
            <w:tcBorders>
              <w:top w:val="single" w:sz="4" w:space="0" w:color="000000"/>
              <w:left w:val="single" w:sz="4" w:space="0" w:color="000000"/>
              <w:bottom w:val="single" w:sz="4" w:space="0" w:color="000000"/>
            </w:tcBorders>
            <w:shd w:val="clear" w:color="auto" w:fill="auto"/>
            <w:vAlign w:val="center"/>
          </w:tcPr>
          <w:p w:rsidR="00433B17" w:rsidRDefault="00433B17" w:rsidP="000335BB">
            <w:pPr>
              <w:jc w:val="center"/>
            </w:pPr>
            <w:r>
              <w:rPr>
                <w:color w:val="000000"/>
                <w:lang w:eastAsia="ru-RU"/>
              </w:rPr>
              <w:t>Переданная к взысканию дебиторская задолженность*</w:t>
            </w: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3B17" w:rsidRDefault="00433B17" w:rsidP="000335BB">
            <w:pPr>
              <w:jc w:val="center"/>
            </w:pPr>
            <w:r>
              <w:rPr>
                <w:color w:val="000000"/>
                <w:lang w:eastAsia="ru-RU"/>
              </w:rPr>
              <w:t xml:space="preserve"> </w:t>
            </w:r>
            <w:r>
              <w:rPr>
                <w:color w:val="000000"/>
                <w:kern w:val="2"/>
                <w:lang w:eastAsia="ru-RU" w:bidi="hi-IN"/>
              </w:rPr>
              <w:t>Цена %</w:t>
            </w:r>
            <w:r>
              <w:rPr>
                <w:color w:val="000000"/>
                <w:lang w:eastAsia="ru-RU"/>
              </w:rPr>
              <w:t xml:space="preserve"> </w:t>
            </w:r>
            <w:proofErr w:type="spellStart"/>
            <w:proofErr w:type="gramStart"/>
            <w:r>
              <w:rPr>
                <w:color w:val="000000"/>
                <w:lang w:eastAsia="ru-RU"/>
              </w:rPr>
              <w:t>вознагражде-ния</w:t>
            </w:r>
            <w:proofErr w:type="spellEnd"/>
            <w:proofErr w:type="gramEnd"/>
            <w:r>
              <w:rPr>
                <w:color w:val="000000"/>
                <w:lang w:eastAsia="ru-RU"/>
              </w:rPr>
              <w:t>, без учёта НДС</w:t>
            </w:r>
          </w:p>
        </w:tc>
      </w:tr>
      <w:tr w:rsidR="00433B17" w:rsidTr="000335BB">
        <w:trPr>
          <w:trHeight w:val="267"/>
        </w:trPr>
        <w:tc>
          <w:tcPr>
            <w:tcW w:w="594" w:type="dxa"/>
            <w:vMerge/>
            <w:tcBorders>
              <w:top w:val="single" w:sz="4" w:space="0" w:color="000000"/>
              <w:left w:val="single" w:sz="4" w:space="0" w:color="000000"/>
              <w:bottom w:val="single" w:sz="4" w:space="0" w:color="000000"/>
            </w:tcBorders>
            <w:shd w:val="clear" w:color="auto" w:fill="auto"/>
            <w:vAlign w:val="center"/>
          </w:tcPr>
          <w:p w:rsidR="00433B17" w:rsidRDefault="00433B17" w:rsidP="000335BB">
            <w:pPr>
              <w:snapToGrid w:val="0"/>
              <w:rPr>
                <w:color w:val="000000"/>
                <w:lang w:eastAsia="ru-RU"/>
              </w:rPr>
            </w:pPr>
          </w:p>
        </w:tc>
        <w:tc>
          <w:tcPr>
            <w:tcW w:w="2926" w:type="dxa"/>
            <w:vMerge/>
            <w:tcBorders>
              <w:top w:val="single" w:sz="4" w:space="0" w:color="000000"/>
              <w:left w:val="single" w:sz="4" w:space="0" w:color="000000"/>
              <w:bottom w:val="single" w:sz="4" w:space="0" w:color="000000"/>
            </w:tcBorders>
            <w:shd w:val="clear" w:color="auto" w:fill="auto"/>
            <w:vAlign w:val="center"/>
          </w:tcPr>
          <w:p w:rsidR="00433B17" w:rsidRDefault="00433B17" w:rsidP="000335BB">
            <w:pPr>
              <w:snapToGrid w:val="0"/>
              <w:rPr>
                <w:color w:val="000000"/>
                <w:lang w:eastAsia="ru-RU"/>
              </w:rPr>
            </w:pPr>
          </w:p>
        </w:tc>
        <w:tc>
          <w:tcPr>
            <w:tcW w:w="1293" w:type="dxa"/>
            <w:tcBorders>
              <w:top w:val="single" w:sz="4" w:space="0" w:color="000000"/>
              <w:left w:val="single" w:sz="4" w:space="0" w:color="000000"/>
              <w:bottom w:val="single" w:sz="4" w:space="0" w:color="000000"/>
            </w:tcBorders>
            <w:shd w:val="clear" w:color="auto" w:fill="auto"/>
            <w:vAlign w:val="center"/>
          </w:tcPr>
          <w:p w:rsidR="00433B17" w:rsidRDefault="00433B17" w:rsidP="000335BB">
            <w:pPr>
              <w:jc w:val="center"/>
            </w:pPr>
            <w:r>
              <w:rPr>
                <w:color w:val="000000"/>
                <w:lang w:eastAsia="ru-RU"/>
              </w:rPr>
              <w:t>(</w:t>
            </w:r>
            <w:proofErr w:type="spellStart"/>
            <w:proofErr w:type="gramStart"/>
            <w:r>
              <w:rPr>
                <w:color w:val="000000"/>
                <w:lang w:eastAsia="ru-RU"/>
              </w:rPr>
              <w:t>шт</w:t>
            </w:r>
            <w:proofErr w:type="spellEnd"/>
            <w:proofErr w:type="gramEnd"/>
            <w:r>
              <w:rPr>
                <w:color w:val="000000"/>
                <w:lang w:eastAsia="ru-RU"/>
              </w:rPr>
              <w:t>)</w:t>
            </w:r>
          </w:p>
        </w:tc>
        <w:tc>
          <w:tcPr>
            <w:tcW w:w="3067" w:type="dxa"/>
            <w:tcBorders>
              <w:top w:val="single" w:sz="4" w:space="0" w:color="000000"/>
              <w:left w:val="single" w:sz="4" w:space="0" w:color="000000"/>
              <w:bottom w:val="single" w:sz="4" w:space="0" w:color="000000"/>
            </w:tcBorders>
            <w:shd w:val="clear" w:color="auto" w:fill="auto"/>
          </w:tcPr>
          <w:p w:rsidR="00433B17" w:rsidRDefault="00433B17" w:rsidP="000335BB">
            <w:pPr>
              <w:jc w:val="center"/>
            </w:pPr>
            <w:r>
              <w:rPr>
                <w:color w:val="000000"/>
                <w:lang w:eastAsia="ru-RU"/>
              </w:rPr>
              <w:t>(</w:t>
            </w:r>
            <w:bookmarkStart w:id="0" w:name="_GoBack"/>
            <w:bookmarkEnd w:id="0"/>
            <w:r>
              <w:rPr>
                <w:color w:val="000000"/>
                <w:lang w:eastAsia="ru-RU"/>
              </w:rPr>
              <w:t>руб. с НДС)</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433B17" w:rsidRDefault="00433B17" w:rsidP="000335BB">
            <w:pPr>
              <w:snapToGrid w:val="0"/>
              <w:jc w:val="center"/>
            </w:pPr>
          </w:p>
        </w:tc>
      </w:tr>
      <w:tr w:rsidR="00433B17" w:rsidTr="000335BB">
        <w:trPr>
          <w:trHeight w:val="267"/>
        </w:trPr>
        <w:tc>
          <w:tcPr>
            <w:tcW w:w="594" w:type="dxa"/>
            <w:tcBorders>
              <w:top w:val="single" w:sz="4" w:space="0" w:color="000000"/>
              <w:left w:val="single" w:sz="4" w:space="0" w:color="000000"/>
              <w:bottom w:val="single" w:sz="4" w:space="0" w:color="000000"/>
            </w:tcBorders>
            <w:shd w:val="clear" w:color="auto" w:fill="auto"/>
            <w:vAlign w:val="center"/>
          </w:tcPr>
          <w:p w:rsidR="00433B17" w:rsidRDefault="00433B17" w:rsidP="000335BB">
            <w:pPr>
              <w:jc w:val="center"/>
            </w:pPr>
            <w:r>
              <w:rPr>
                <w:color w:val="000000"/>
                <w:lang w:eastAsia="ru-RU"/>
              </w:rPr>
              <w:t>1</w:t>
            </w:r>
          </w:p>
        </w:tc>
        <w:tc>
          <w:tcPr>
            <w:tcW w:w="2926" w:type="dxa"/>
            <w:tcBorders>
              <w:top w:val="single" w:sz="4" w:space="0" w:color="000000"/>
              <w:left w:val="single" w:sz="4" w:space="0" w:color="000000"/>
              <w:bottom w:val="single" w:sz="4" w:space="0" w:color="000000"/>
            </w:tcBorders>
            <w:shd w:val="clear" w:color="auto" w:fill="auto"/>
            <w:vAlign w:val="center"/>
          </w:tcPr>
          <w:p w:rsidR="00433B17" w:rsidRDefault="00433B17" w:rsidP="000335BB">
            <w:r>
              <w:rPr>
                <w:color w:val="000000"/>
                <w:lang w:eastAsia="ru-RU"/>
              </w:rPr>
              <w:t>Повышение собираемости просроченной дебиторской задолженности по многоквартирным жилым домам</w:t>
            </w:r>
          </w:p>
        </w:tc>
        <w:tc>
          <w:tcPr>
            <w:tcW w:w="1293" w:type="dxa"/>
            <w:tcBorders>
              <w:top w:val="single" w:sz="4" w:space="0" w:color="000000"/>
              <w:left w:val="single" w:sz="4" w:space="0" w:color="000000"/>
              <w:bottom w:val="single" w:sz="4" w:space="0" w:color="000000"/>
            </w:tcBorders>
            <w:shd w:val="clear" w:color="auto" w:fill="auto"/>
            <w:vAlign w:val="center"/>
          </w:tcPr>
          <w:p w:rsidR="00433B17" w:rsidRDefault="00433B17" w:rsidP="000335BB">
            <w:pPr>
              <w:jc w:val="center"/>
            </w:pPr>
            <w:r>
              <w:rPr>
                <w:color w:val="000000"/>
                <w:lang w:eastAsia="ru-RU"/>
              </w:rPr>
              <w:t>4318</w:t>
            </w:r>
          </w:p>
        </w:tc>
        <w:tc>
          <w:tcPr>
            <w:tcW w:w="3067" w:type="dxa"/>
            <w:tcBorders>
              <w:top w:val="single" w:sz="4" w:space="0" w:color="000000"/>
              <w:left w:val="single" w:sz="4" w:space="0" w:color="000000"/>
              <w:bottom w:val="single" w:sz="4" w:space="0" w:color="000000"/>
            </w:tcBorders>
            <w:shd w:val="clear" w:color="auto" w:fill="auto"/>
            <w:vAlign w:val="center"/>
          </w:tcPr>
          <w:p w:rsidR="00433B17" w:rsidRDefault="00433B17" w:rsidP="000335BB">
            <w:pPr>
              <w:jc w:val="center"/>
            </w:pPr>
            <w:r>
              <w:rPr>
                <w:color w:val="000000"/>
                <w:lang w:eastAsia="ru-RU"/>
              </w:rPr>
              <w:t>343 321 416,10</w:t>
            </w: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3B17" w:rsidRDefault="00433B17" w:rsidP="000335BB">
            <w:pPr>
              <w:jc w:val="center"/>
            </w:pPr>
            <w:r>
              <w:rPr>
                <w:color w:val="000000"/>
              </w:rPr>
              <w:t>8,</w:t>
            </w:r>
            <w:r>
              <w:rPr>
                <w:color w:val="000000"/>
                <w:lang w:val="en-US"/>
              </w:rPr>
              <w:t>11</w:t>
            </w:r>
            <w:r>
              <w:rPr>
                <w:color w:val="000000"/>
              </w:rPr>
              <w:t>%</w:t>
            </w:r>
          </w:p>
        </w:tc>
      </w:tr>
      <w:tr w:rsidR="00433B17" w:rsidTr="000335BB">
        <w:trPr>
          <w:trHeight w:val="267"/>
        </w:trPr>
        <w:tc>
          <w:tcPr>
            <w:tcW w:w="594" w:type="dxa"/>
            <w:tcBorders>
              <w:left w:val="single" w:sz="4" w:space="0" w:color="000000"/>
              <w:bottom w:val="single" w:sz="4" w:space="0" w:color="000000"/>
            </w:tcBorders>
            <w:shd w:val="clear" w:color="auto" w:fill="auto"/>
            <w:vAlign w:val="center"/>
          </w:tcPr>
          <w:p w:rsidR="00433B17" w:rsidRDefault="00433B17" w:rsidP="000335BB">
            <w:pPr>
              <w:jc w:val="center"/>
            </w:pPr>
            <w:r>
              <w:t>2</w:t>
            </w:r>
          </w:p>
        </w:tc>
        <w:tc>
          <w:tcPr>
            <w:tcW w:w="2926" w:type="dxa"/>
            <w:tcBorders>
              <w:left w:val="single" w:sz="4" w:space="0" w:color="000000"/>
              <w:bottom w:val="single" w:sz="4" w:space="0" w:color="000000"/>
            </w:tcBorders>
            <w:shd w:val="clear" w:color="auto" w:fill="auto"/>
            <w:vAlign w:val="center"/>
          </w:tcPr>
          <w:p w:rsidR="00433B17" w:rsidRDefault="00433B17" w:rsidP="000335BB">
            <w:r>
              <w:rPr>
                <w:color w:val="000000"/>
                <w:lang w:eastAsia="ru-RU"/>
              </w:rPr>
              <w:t>Повышение собираемости просроченной дебиторской задолженности по жилым домам частного сектора</w:t>
            </w:r>
          </w:p>
        </w:tc>
        <w:tc>
          <w:tcPr>
            <w:tcW w:w="1293" w:type="dxa"/>
            <w:tcBorders>
              <w:left w:val="single" w:sz="4" w:space="0" w:color="000000"/>
              <w:bottom w:val="single" w:sz="4" w:space="0" w:color="000000"/>
            </w:tcBorders>
            <w:shd w:val="clear" w:color="auto" w:fill="auto"/>
            <w:vAlign w:val="center"/>
          </w:tcPr>
          <w:p w:rsidR="00433B17" w:rsidRDefault="00433B17" w:rsidP="000335BB">
            <w:pPr>
              <w:jc w:val="center"/>
            </w:pPr>
            <w:r>
              <w:t>718</w:t>
            </w:r>
          </w:p>
        </w:tc>
        <w:tc>
          <w:tcPr>
            <w:tcW w:w="3067" w:type="dxa"/>
            <w:tcBorders>
              <w:left w:val="single" w:sz="4" w:space="0" w:color="000000"/>
              <w:bottom w:val="single" w:sz="4" w:space="0" w:color="000000"/>
            </w:tcBorders>
            <w:shd w:val="clear" w:color="auto" w:fill="auto"/>
            <w:vAlign w:val="center"/>
          </w:tcPr>
          <w:p w:rsidR="00433B17" w:rsidRDefault="00433B17" w:rsidP="000335BB">
            <w:pPr>
              <w:jc w:val="center"/>
            </w:pPr>
            <w:r>
              <w:t>16 354 480,60</w:t>
            </w:r>
          </w:p>
        </w:tc>
        <w:tc>
          <w:tcPr>
            <w:tcW w:w="1820" w:type="dxa"/>
            <w:tcBorders>
              <w:left w:val="single" w:sz="4" w:space="0" w:color="000000"/>
              <w:bottom w:val="single" w:sz="4" w:space="0" w:color="000000"/>
              <w:right w:val="single" w:sz="4" w:space="0" w:color="000000"/>
            </w:tcBorders>
            <w:shd w:val="clear" w:color="auto" w:fill="auto"/>
            <w:vAlign w:val="center"/>
          </w:tcPr>
          <w:p w:rsidR="00433B17" w:rsidRDefault="00433B17" w:rsidP="000335BB">
            <w:pPr>
              <w:jc w:val="center"/>
            </w:pPr>
            <w:r>
              <w:rPr>
                <w:color w:val="000000"/>
              </w:rPr>
              <w:t>8,</w:t>
            </w:r>
            <w:r>
              <w:rPr>
                <w:color w:val="000000"/>
                <w:lang w:val="en-US"/>
              </w:rPr>
              <w:t>11</w:t>
            </w:r>
            <w:r>
              <w:rPr>
                <w:color w:val="000000"/>
              </w:rPr>
              <w:t xml:space="preserve"> </w:t>
            </w:r>
            <w:r>
              <w:t>%</w:t>
            </w:r>
          </w:p>
        </w:tc>
      </w:tr>
      <w:tr w:rsidR="00433B17" w:rsidTr="000335BB">
        <w:trPr>
          <w:trHeight w:val="267"/>
        </w:trPr>
        <w:tc>
          <w:tcPr>
            <w:tcW w:w="594" w:type="dxa"/>
            <w:tcBorders>
              <w:left w:val="single" w:sz="4" w:space="0" w:color="000000"/>
              <w:bottom w:val="single" w:sz="4" w:space="0" w:color="000000"/>
            </w:tcBorders>
            <w:shd w:val="clear" w:color="auto" w:fill="auto"/>
            <w:vAlign w:val="center"/>
          </w:tcPr>
          <w:p w:rsidR="00433B17" w:rsidRDefault="00433B17" w:rsidP="000335BB">
            <w:pPr>
              <w:snapToGrid w:val="0"/>
              <w:jc w:val="center"/>
            </w:pPr>
          </w:p>
        </w:tc>
        <w:tc>
          <w:tcPr>
            <w:tcW w:w="2926" w:type="dxa"/>
            <w:tcBorders>
              <w:left w:val="single" w:sz="4" w:space="0" w:color="000000"/>
              <w:bottom w:val="single" w:sz="4" w:space="0" w:color="000000"/>
            </w:tcBorders>
            <w:shd w:val="clear" w:color="auto" w:fill="auto"/>
            <w:vAlign w:val="center"/>
          </w:tcPr>
          <w:p w:rsidR="00433B17" w:rsidRDefault="00433B17" w:rsidP="000335BB">
            <w:r>
              <w:rPr>
                <w:b/>
                <w:bCs/>
                <w:color w:val="000000"/>
                <w:lang w:eastAsia="ru-RU"/>
              </w:rPr>
              <w:t>Итого:</w:t>
            </w:r>
          </w:p>
        </w:tc>
        <w:tc>
          <w:tcPr>
            <w:tcW w:w="1293" w:type="dxa"/>
            <w:tcBorders>
              <w:left w:val="single" w:sz="4" w:space="0" w:color="000000"/>
              <w:bottom w:val="single" w:sz="4" w:space="0" w:color="000000"/>
            </w:tcBorders>
            <w:shd w:val="clear" w:color="auto" w:fill="auto"/>
            <w:vAlign w:val="center"/>
          </w:tcPr>
          <w:p w:rsidR="00433B17" w:rsidRDefault="00433B17" w:rsidP="000335BB">
            <w:pPr>
              <w:jc w:val="center"/>
            </w:pPr>
            <w:r>
              <w:rPr>
                <w:b/>
                <w:bCs/>
                <w:color w:val="000000"/>
                <w:lang w:eastAsia="ru-RU"/>
              </w:rPr>
              <w:t>5036</w:t>
            </w:r>
          </w:p>
        </w:tc>
        <w:tc>
          <w:tcPr>
            <w:tcW w:w="3067" w:type="dxa"/>
            <w:tcBorders>
              <w:left w:val="single" w:sz="4" w:space="0" w:color="000000"/>
              <w:bottom w:val="single" w:sz="4" w:space="0" w:color="000000"/>
            </w:tcBorders>
            <w:shd w:val="clear" w:color="auto" w:fill="auto"/>
            <w:vAlign w:val="center"/>
          </w:tcPr>
          <w:p w:rsidR="00433B17" w:rsidRDefault="00433B17" w:rsidP="000335BB">
            <w:pPr>
              <w:jc w:val="center"/>
            </w:pPr>
            <w:r>
              <w:rPr>
                <w:b/>
                <w:bCs/>
                <w:color w:val="000000"/>
                <w:lang w:eastAsia="ru-RU"/>
              </w:rPr>
              <w:t>359 675 896,70</w:t>
            </w:r>
          </w:p>
        </w:tc>
        <w:tc>
          <w:tcPr>
            <w:tcW w:w="1820" w:type="dxa"/>
            <w:tcBorders>
              <w:left w:val="single" w:sz="4" w:space="0" w:color="000000"/>
              <w:bottom w:val="single" w:sz="4" w:space="0" w:color="000000"/>
              <w:right w:val="single" w:sz="4" w:space="0" w:color="000000"/>
            </w:tcBorders>
            <w:shd w:val="clear" w:color="auto" w:fill="auto"/>
            <w:vAlign w:val="center"/>
          </w:tcPr>
          <w:p w:rsidR="00433B17" w:rsidRDefault="00433B17" w:rsidP="000335BB">
            <w:pPr>
              <w:jc w:val="center"/>
            </w:pPr>
            <w:r>
              <w:rPr>
                <w:color w:val="000000"/>
              </w:rPr>
              <w:t>8,</w:t>
            </w:r>
            <w:r>
              <w:rPr>
                <w:color w:val="000000"/>
                <w:lang w:val="en-US"/>
              </w:rPr>
              <w:t>11</w:t>
            </w:r>
            <w:r>
              <w:rPr>
                <w:color w:val="000000"/>
              </w:rPr>
              <w:t xml:space="preserve"> </w:t>
            </w:r>
            <w:r>
              <w:rPr>
                <w:b/>
                <w:bCs/>
                <w:color w:val="000000"/>
              </w:rPr>
              <w:t>%</w:t>
            </w:r>
          </w:p>
        </w:tc>
      </w:tr>
    </w:tbl>
    <w:p w:rsidR="00433B17" w:rsidRDefault="00433B17" w:rsidP="00433B17">
      <w:pPr>
        <w:jc w:val="both"/>
      </w:pPr>
      <w:r>
        <w:rPr>
          <w:b/>
          <w:bCs/>
          <w:u w:val="single"/>
        </w:rPr>
        <w:t xml:space="preserve">2.Общие требования к </w:t>
      </w:r>
      <w:r>
        <w:rPr>
          <w:b/>
          <w:u w:val="single"/>
        </w:rPr>
        <w:t>оказанию услуги:</w:t>
      </w:r>
    </w:p>
    <w:p w:rsidR="00433B17" w:rsidRDefault="00433B17" w:rsidP="00433B17">
      <w:pPr>
        <w:jc w:val="both"/>
      </w:pPr>
      <w:r>
        <w:t>-планы и мероприятия, направленные на погашение дебиторской задолженности должны быть согласованы с Принципалом;</w:t>
      </w:r>
    </w:p>
    <w:p w:rsidR="00433B17" w:rsidRDefault="00433B17" w:rsidP="00433B17">
      <w:pPr>
        <w:jc w:val="both"/>
      </w:pPr>
      <w:r>
        <w:t xml:space="preserve">-ежемесячно, до 5 числа месяца следующего </w:t>
      </w:r>
      <w:proofErr w:type="gramStart"/>
      <w:r>
        <w:t>за</w:t>
      </w:r>
      <w:proofErr w:type="gramEnd"/>
      <w:r>
        <w:t xml:space="preserve"> </w:t>
      </w:r>
      <w:proofErr w:type="gramStart"/>
      <w:r>
        <w:t>отчетным</w:t>
      </w:r>
      <w:proofErr w:type="gramEnd"/>
      <w:r>
        <w:t>, предоставлять Принципалу акты о выполнении поручения, с указанием конкретных должников и действий, которые были осуществлены во исполнение договора.</w:t>
      </w:r>
    </w:p>
    <w:p w:rsidR="00433B17" w:rsidRDefault="00433B17" w:rsidP="00433B17">
      <w:pPr>
        <w:pStyle w:val="Style2"/>
        <w:widowControl/>
        <w:tabs>
          <w:tab w:val="left" w:pos="426"/>
        </w:tabs>
        <w:spacing w:line="274" w:lineRule="exact"/>
        <w:ind w:firstLine="425"/>
      </w:pPr>
      <w:r>
        <w:t xml:space="preserve">   Принципал до 10 (Десятого) числа каждого месяца передает в работу Агенту реестр должников - физических лиц со сроком образования задолженности свыше 6 месяцев по открытым и закрытым лицевым счетам за оказанные услуги водоснабжения и водоотведения. Реестр передаётся в электронном виде и на бумажном носителе с указанием номера лицевого счёта, адреса, периода возникновения задолженности, суммы задолженности по форме ООО «СКС». Реестры в электронном виде передаются либо по защищенным каналам связи, либо на электронном носителе способом, исключающим несанкционированный доступ третьих лиц.</w:t>
      </w:r>
    </w:p>
    <w:p w:rsidR="00433B17" w:rsidRDefault="00433B17" w:rsidP="00433B17">
      <w:pPr>
        <w:tabs>
          <w:tab w:val="left" w:pos="567"/>
        </w:tabs>
        <w:ind w:firstLine="425"/>
        <w:jc w:val="both"/>
      </w:pPr>
      <w:r>
        <w:t xml:space="preserve">  Агент обязуется приступить к оказанию услуг не позднее следующего дня после поступления в работу реестра должников – физических лиц.</w:t>
      </w:r>
    </w:p>
    <w:p w:rsidR="00433B17" w:rsidRDefault="00433B17" w:rsidP="00433B17">
      <w:pPr>
        <w:tabs>
          <w:tab w:val="left" w:pos="709"/>
        </w:tabs>
        <w:ind w:firstLine="709"/>
        <w:jc w:val="both"/>
      </w:pPr>
      <w:r>
        <w:t>При совершении действий, направленных на возврат просроченной задолженности за жилищно-коммунальные услуги (холодное водоснабжение и водоотведение), Принципал вправе взаимодействовать с потребителями физическими лицами, а именно:</w:t>
      </w:r>
    </w:p>
    <w:p w:rsidR="00433B17" w:rsidRDefault="00433B17" w:rsidP="00433B17">
      <w:pPr>
        <w:jc w:val="both"/>
      </w:pPr>
      <w:r>
        <w:t>-осуществлять выезд к должникам, по месту их жительства для проведения переговоров, вручения уведомлений, предупреждений и других документов;</w:t>
      </w:r>
    </w:p>
    <w:p w:rsidR="00433B17" w:rsidRDefault="00433B17" w:rsidP="00433B17">
      <w:pPr>
        <w:jc w:val="both"/>
      </w:pPr>
      <w:r>
        <w:t>-осуществлять взаимодействие с должниками;</w:t>
      </w:r>
    </w:p>
    <w:p w:rsidR="00433B17" w:rsidRDefault="00433B17" w:rsidP="00433B17">
      <w:pPr>
        <w:jc w:val="both"/>
      </w:pPr>
      <w:r>
        <w:t>-осуществлять сбор, анализ и экспертизу информации, материалов, документов, необходимых для взыскания задолженности конкретного должника;</w:t>
      </w:r>
    </w:p>
    <w:p w:rsidR="00433B17" w:rsidRDefault="00433B17" w:rsidP="00433B17">
      <w:pPr>
        <w:jc w:val="both"/>
      </w:pPr>
      <w:r>
        <w:lastRenderedPageBreak/>
        <w:t xml:space="preserve">- осуществлять выработку по согласованию с Принципалом конкретных предложений по оптимальному </w:t>
      </w:r>
      <w:r>
        <w:rPr>
          <w:rFonts w:eastAsia="NSimSun"/>
          <w:kern w:val="2"/>
          <w:lang w:bidi="hi-IN"/>
        </w:rPr>
        <w:t>взысканию</w:t>
      </w:r>
      <w:r>
        <w:t xml:space="preserve"> задолженности;</w:t>
      </w:r>
    </w:p>
    <w:p w:rsidR="00433B17" w:rsidRDefault="00433B17" w:rsidP="00433B17">
      <w:pPr>
        <w:jc w:val="both"/>
      </w:pPr>
      <w:r>
        <w:t>-соблюдать существенные условия Агентского договора.</w:t>
      </w:r>
    </w:p>
    <w:p w:rsidR="00433B17" w:rsidRDefault="00433B17" w:rsidP="00433B17">
      <w:pPr>
        <w:tabs>
          <w:tab w:val="left" w:pos="567"/>
        </w:tabs>
        <w:jc w:val="both"/>
      </w:pPr>
      <w:r>
        <w:rPr>
          <w:b/>
          <w:bCs/>
          <w:u w:val="single"/>
        </w:rPr>
        <w:t>3.Цель оказания услуги</w:t>
      </w:r>
      <w:r>
        <w:rPr>
          <w:b/>
          <w:bCs/>
        </w:rPr>
        <w:t xml:space="preserve">: </w:t>
      </w:r>
      <w:r>
        <w:rPr>
          <w:bCs/>
        </w:rPr>
        <w:t>Снижение просроченной дебиторской задолженности (за водоснабжение и водоотведение) физических лиц городского округа Самара и повышение собираемости просроченной дебиторской задолженности по оплате жилищно-коммунальных услуг (за водоснабжение и водоотведение) потребителей - физических лиц городского округа Самара</w:t>
      </w:r>
    </w:p>
    <w:p w:rsidR="00433B17" w:rsidRDefault="00433B17" w:rsidP="00433B17">
      <w:pPr>
        <w:tabs>
          <w:tab w:val="left" w:pos="567"/>
        </w:tabs>
        <w:jc w:val="both"/>
      </w:pPr>
      <w:r>
        <w:rPr>
          <w:b/>
          <w:bCs/>
          <w:u w:val="single"/>
        </w:rPr>
        <w:t>4.</w:t>
      </w:r>
      <w:r>
        <w:rPr>
          <w:b/>
          <w:u w:val="single"/>
        </w:rPr>
        <w:t>Требования к срокам оказания услуг</w:t>
      </w:r>
      <w:r>
        <w:rPr>
          <w:b/>
        </w:rPr>
        <w:t xml:space="preserve">: </w:t>
      </w:r>
      <w:r>
        <w:rPr>
          <w:rStyle w:val="FontStyle17"/>
          <w:rFonts w:eastAsia="Calibri"/>
          <w:iCs/>
        </w:rPr>
        <w:t xml:space="preserve">Настоящий Договор вступает в силу и становится обязательным для Сторон </w:t>
      </w:r>
      <w:proofErr w:type="gramStart"/>
      <w:r>
        <w:rPr>
          <w:rStyle w:val="FontStyle17"/>
          <w:rFonts w:eastAsia="Calibri"/>
          <w:iCs/>
        </w:rPr>
        <w:t>с даты</w:t>
      </w:r>
      <w:proofErr w:type="gramEnd"/>
      <w:r>
        <w:rPr>
          <w:rStyle w:val="FontStyle17"/>
          <w:rFonts w:eastAsia="Calibri"/>
          <w:iCs/>
        </w:rPr>
        <w:t xml:space="preserve"> его подписания и действует в течение 12 (двенадцати) месяцев с даты его заключения.</w:t>
      </w:r>
    </w:p>
    <w:p w:rsidR="00433B17" w:rsidRDefault="00433B17" w:rsidP="00433B17">
      <w:pPr>
        <w:pStyle w:val="Style3"/>
        <w:widowControl/>
        <w:tabs>
          <w:tab w:val="left" w:pos="5635"/>
        </w:tabs>
        <w:spacing w:before="34" w:after="240" w:line="240" w:lineRule="auto"/>
        <w:ind w:right="10"/>
      </w:pPr>
      <w:r>
        <w:rPr>
          <w:rStyle w:val="FontStyle17"/>
          <w:rFonts w:eastAsia="Calibri"/>
          <w:b/>
          <w:bCs/>
          <w:iCs/>
          <w:u w:val="single"/>
        </w:rPr>
        <w:t>5.Место оказания услуг:</w:t>
      </w:r>
      <w:r>
        <w:rPr>
          <w:rStyle w:val="FontStyle17"/>
          <w:rFonts w:eastAsia="Calibri"/>
          <w:bCs/>
          <w:iCs/>
        </w:rPr>
        <w:t xml:space="preserve"> территория </w:t>
      </w:r>
      <w:proofErr w:type="gramStart"/>
      <w:r>
        <w:rPr>
          <w:rStyle w:val="FontStyle17"/>
          <w:rFonts w:eastAsia="Calibri"/>
          <w:bCs/>
          <w:iCs/>
        </w:rPr>
        <w:t>г</w:t>
      </w:r>
      <w:proofErr w:type="gramEnd"/>
      <w:r>
        <w:rPr>
          <w:rStyle w:val="FontStyle17"/>
          <w:rFonts w:eastAsia="Calibri"/>
          <w:bCs/>
          <w:iCs/>
        </w:rPr>
        <w:t xml:space="preserve">. Самара (в соответствии с местонахождением должников).                                                                                                                                               </w:t>
      </w:r>
      <w:r>
        <w:rPr>
          <w:rStyle w:val="FontStyle17"/>
          <w:rFonts w:eastAsia="Calibri"/>
          <w:b/>
          <w:bCs/>
          <w:iCs/>
          <w:u w:val="single"/>
        </w:rPr>
        <w:t>6.Размер вознаграждения Агента:</w:t>
      </w:r>
      <w:r>
        <w:rPr>
          <w:rStyle w:val="FontStyle17"/>
          <w:rFonts w:eastAsia="Calibri"/>
          <w:b/>
          <w:iCs/>
        </w:rPr>
        <w:t xml:space="preserve"> </w:t>
      </w:r>
      <w:bookmarkStart w:id="1" w:name="__DdeLink__877_1609401958"/>
      <w:r>
        <w:rPr>
          <w:rStyle w:val="FontStyle17"/>
          <w:rFonts w:eastAsia="Calibri" w:cs="Arial"/>
          <w:iCs/>
        </w:rPr>
        <w:t>Размер агентского вознаграждения составляет 8,11 % от сумм всех платежей, поступивших в Отчетном периоде</w:t>
      </w:r>
      <w:bookmarkEnd w:id="1"/>
      <w:r>
        <w:rPr>
          <w:rStyle w:val="FontStyle17"/>
          <w:rFonts w:eastAsia="Calibri" w:cs="Arial"/>
          <w:iCs/>
        </w:rPr>
        <w:t xml:space="preserve"> по всем лицевым счетам Должников, информация по которым была предоставлена в соответствующем Реестре.     </w:t>
      </w:r>
    </w:p>
    <w:p w:rsidR="00433B17" w:rsidRDefault="00433B17" w:rsidP="00433B17">
      <w:pPr>
        <w:pStyle w:val="Style3"/>
        <w:widowControl/>
        <w:tabs>
          <w:tab w:val="left" w:pos="5635"/>
        </w:tabs>
        <w:spacing w:before="34" w:after="240" w:line="240" w:lineRule="auto"/>
        <w:ind w:right="10"/>
      </w:pPr>
      <w:r>
        <w:rPr>
          <w:rStyle w:val="FontStyle17"/>
          <w:rFonts w:eastAsia="Calibri" w:cs="Arial"/>
          <w:iCs/>
        </w:rPr>
        <w:t xml:space="preserve"> </w:t>
      </w:r>
      <w:r>
        <w:rPr>
          <w:b/>
          <w:bCs/>
          <w:iCs/>
          <w:u w:val="single"/>
        </w:rPr>
        <w:t>7.</w:t>
      </w:r>
      <w:r>
        <w:rPr>
          <w:b/>
          <w:u w:val="single"/>
        </w:rPr>
        <w:t>Нормативные требования</w:t>
      </w:r>
      <w:r>
        <w:rPr>
          <w:b/>
        </w:rPr>
        <w:t xml:space="preserve">: </w:t>
      </w:r>
      <w:r>
        <w:t xml:space="preserve">Услуги, направленные на возврат просроченной задолженности, осуществляются в соответствии со следующими нормативно-правовыми актами: </w:t>
      </w:r>
      <w:proofErr w:type="gramStart"/>
      <w:r>
        <w:t xml:space="preserve">Гражданский кодекс Российской Федерации; Федеральный закон от 27.07.2006 г. №152-ФЗ «О персональных данных»; Постановление Правительства РФ от 06.05.2011 г. №354 «О предоставлении коммунальных услуг собственникам и пользователям помещений в многоквартирных домах и жилых домов»; Постановление Правительства РФ от 29.07.2013 г. №644 «Об утверждении Правил холодного водоснабжения и водоотведения и о внесении изменений в некоторые акты Правительства Российской Федерации».                 </w:t>
      </w:r>
      <w:proofErr w:type="gramEnd"/>
    </w:p>
    <w:p w:rsidR="00433B17" w:rsidRDefault="00433B17" w:rsidP="00433B17">
      <w:pPr>
        <w:pStyle w:val="Style3"/>
        <w:widowControl/>
        <w:tabs>
          <w:tab w:val="left" w:pos="5635"/>
        </w:tabs>
        <w:spacing w:before="34" w:after="240" w:line="240" w:lineRule="auto"/>
        <w:ind w:right="10"/>
      </w:pPr>
      <w:r>
        <w:t xml:space="preserve">  </w:t>
      </w:r>
      <w:r>
        <w:rPr>
          <w:b/>
          <w:u w:val="single"/>
        </w:rPr>
        <w:t>8.Требования к объему оказываемых услуг</w:t>
      </w:r>
      <w:r>
        <w:rPr>
          <w:b/>
        </w:rPr>
        <w:t xml:space="preserve">: </w:t>
      </w:r>
      <w:r>
        <w:t>Услуги должны быть оказаны качественно в соответствии с данными, указанными в письменных реестрах должников с указанием их наименований (или ФИО), адресов проживания, размера задолженности. Копии документов, подтверждающих задолженность, счета (квитанции) на оплату задолженности могут быть предоставлены по запросу Агента. Реест</w:t>
      </w:r>
      <w:proofErr w:type="gramStart"/>
      <w:r>
        <w:t>р(</w:t>
      </w:r>
      <w:proofErr w:type="gramEnd"/>
      <w:r>
        <w:t>-</w:t>
      </w:r>
      <w:proofErr w:type="spellStart"/>
      <w:r>
        <w:t>ы</w:t>
      </w:r>
      <w:proofErr w:type="spellEnd"/>
      <w:r>
        <w:t xml:space="preserve">) после подписания Сторонами является приложением к договору и его неотъемлемой частью.                                              </w:t>
      </w:r>
    </w:p>
    <w:p w:rsidR="00433B17" w:rsidRDefault="00433B17" w:rsidP="00433B17">
      <w:pPr>
        <w:pStyle w:val="Style3"/>
        <w:widowControl/>
        <w:tabs>
          <w:tab w:val="left" w:pos="5635"/>
        </w:tabs>
        <w:spacing w:before="34" w:after="240" w:line="240" w:lineRule="auto"/>
        <w:ind w:right="10"/>
      </w:pPr>
      <w:r>
        <w:rPr>
          <w:b/>
          <w:u w:val="single"/>
        </w:rPr>
        <w:t>9.Требования к последовательности этапов оказания услуг</w:t>
      </w:r>
      <w:r>
        <w:rPr>
          <w:b/>
        </w:rPr>
        <w:t xml:space="preserve">: </w:t>
      </w:r>
      <w:r>
        <w:t xml:space="preserve">Последовательность этапов оказания услуги определяется Агентом самостоятельно по согласованию с Принципалом в соответствии с нормативными требованиями, установленными п.7 Технического задания. </w:t>
      </w:r>
      <w:r>
        <w:rPr>
          <w:b/>
          <w:u w:val="single"/>
        </w:rPr>
        <w:t>10.Требования к совершению действий в рамках агентского договора</w:t>
      </w:r>
      <w:r>
        <w:rPr>
          <w:b/>
        </w:rPr>
        <w:t xml:space="preserve">: </w:t>
      </w:r>
      <w:r>
        <w:t xml:space="preserve">Агент выполняет поручение Принципала только на территории Российской Федерации. Агент приступает к выполнению поручения по договору с момента передачи Принципалом данных, указанных в договоре.                                                                                                                        </w:t>
      </w:r>
    </w:p>
    <w:p w:rsidR="00433B17" w:rsidRDefault="00433B17" w:rsidP="00433B17">
      <w:pPr>
        <w:pStyle w:val="Style3"/>
        <w:widowControl/>
        <w:tabs>
          <w:tab w:val="left" w:pos="5635"/>
        </w:tabs>
        <w:spacing w:before="34" w:after="240" w:line="240" w:lineRule="auto"/>
        <w:ind w:right="10"/>
      </w:pPr>
      <w:r>
        <w:t xml:space="preserve">  </w:t>
      </w:r>
      <w:r>
        <w:rPr>
          <w:b/>
          <w:color w:val="000000"/>
          <w:u w:val="single"/>
        </w:rPr>
        <w:t>11.Требования к защите информации и безопасности:</w:t>
      </w:r>
      <w:r>
        <w:rPr>
          <w:b/>
          <w:color w:val="000000"/>
        </w:rPr>
        <w:t xml:space="preserve"> </w:t>
      </w:r>
      <w:proofErr w:type="gramStart"/>
      <w:r>
        <w:rPr>
          <w:color w:val="000000"/>
        </w:rPr>
        <w:t xml:space="preserve">В соответствии с положениями Федерального закона № 152-ФЗ от 27.07.2006 г. «О персональных данных», Федерального закона № 149-ФЗ от 27.07.2006 г. «Об информации, информационных технологиях и о защите информации», Федерального закона  №63-ФЗ от 06.04.2011 г. «Об электронной подписи», Постановления Правительства Российской Федерации № 1119 от 01.11.2012 г. «Об утверждении требований к защите персональных данных при их обработке в информационных системах персональных данных», </w:t>
      </w:r>
      <w:proofErr w:type="gramEnd"/>
    </w:p>
    <w:p w:rsidR="00433B17" w:rsidRDefault="00433B17" w:rsidP="00433B17">
      <w:pPr>
        <w:pStyle w:val="Style3"/>
        <w:widowControl/>
        <w:tabs>
          <w:tab w:val="left" w:pos="5635"/>
        </w:tabs>
        <w:spacing w:before="34" w:after="240" w:line="240" w:lineRule="auto"/>
        <w:ind w:right="10"/>
      </w:pPr>
    </w:p>
    <w:p w:rsidR="00433B17" w:rsidRDefault="00433B17" w:rsidP="00433B17">
      <w:pPr>
        <w:jc w:val="both"/>
        <w:rPr>
          <w:color w:val="000000"/>
        </w:rPr>
      </w:pPr>
    </w:p>
    <w:p w:rsidR="00433B17" w:rsidRDefault="00433B17" w:rsidP="00433B17">
      <w:pPr>
        <w:jc w:val="both"/>
      </w:pPr>
      <w:proofErr w:type="gramStart"/>
      <w:r>
        <w:rPr>
          <w:color w:val="000000"/>
        </w:rPr>
        <w:lastRenderedPageBreak/>
        <w:t>Постановления Правительства Российской Федерации № 687 от 15.09.2008 г. «Об утверждении Положения об особенностях обработки персональных данных, осуществляемой без использования средств автоматизации», Агент должен обеспечивать защиту персональных данных, используемых при выполнении работ (оказании услуг) по договору,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w:t>
      </w:r>
      <w:proofErr w:type="gramEnd"/>
    </w:p>
    <w:p w:rsidR="00433B17" w:rsidRDefault="00433B17" w:rsidP="00433B17">
      <w:pPr>
        <w:jc w:val="both"/>
        <w:rPr>
          <w:color w:val="000000"/>
        </w:rPr>
      </w:pPr>
    </w:p>
    <w:p w:rsidR="00433B17" w:rsidRDefault="00433B17" w:rsidP="00433B17">
      <w:pPr>
        <w:jc w:val="both"/>
        <w:rPr>
          <w:color w:val="000000"/>
        </w:rPr>
      </w:pPr>
    </w:p>
    <w:p w:rsidR="00433B17" w:rsidRDefault="00433B17" w:rsidP="00433B17">
      <w:pPr>
        <w:jc w:val="both"/>
        <w:rPr>
          <w:color w:val="000000"/>
        </w:rPr>
      </w:pPr>
    </w:p>
    <w:p w:rsidR="00433B17" w:rsidRDefault="00433B17" w:rsidP="00433B17">
      <w:pPr>
        <w:jc w:val="both"/>
        <w:rPr>
          <w:color w:val="000000"/>
        </w:rPr>
      </w:pPr>
    </w:p>
    <w:p w:rsidR="00433B17" w:rsidRDefault="00433B17" w:rsidP="00433B17">
      <w:pPr>
        <w:jc w:val="both"/>
        <w:rPr>
          <w:color w:val="000000"/>
        </w:rPr>
      </w:pPr>
    </w:p>
    <w:p w:rsidR="00433B17" w:rsidRDefault="00433B17" w:rsidP="00433B17">
      <w:pPr>
        <w:jc w:val="both"/>
        <w:rPr>
          <w:color w:val="000000"/>
        </w:rPr>
      </w:pPr>
    </w:p>
    <w:p w:rsidR="00433B17" w:rsidRDefault="00433B17" w:rsidP="00433B17">
      <w:pPr>
        <w:jc w:val="both"/>
        <w:rPr>
          <w:color w:val="000000"/>
        </w:rPr>
      </w:pPr>
    </w:p>
    <w:p w:rsidR="00433B17" w:rsidRDefault="00433B17" w:rsidP="00433B17">
      <w:pPr>
        <w:jc w:val="both"/>
        <w:rPr>
          <w:color w:val="000000"/>
        </w:rPr>
      </w:pPr>
    </w:p>
    <w:p w:rsidR="00433B17" w:rsidRDefault="00433B17" w:rsidP="00433B17">
      <w:pPr>
        <w:jc w:val="both"/>
      </w:pPr>
      <w:r>
        <w:rPr>
          <w:color w:val="000000"/>
          <w:sz w:val="26"/>
          <w:szCs w:val="26"/>
        </w:rPr>
        <w:t>И.о. директора по сбытовой деятельности</w:t>
      </w:r>
    </w:p>
    <w:p w:rsidR="00433B17" w:rsidRDefault="00433B17" w:rsidP="00433B17">
      <w:pPr>
        <w:jc w:val="both"/>
      </w:pPr>
      <w:r>
        <w:rPr>
          <w:color w:val="000000"/>
          <w:sz w:val="26"/>
          <w:szCs w:val="26"/>
        </w:rPr>
        <w:t>ООО «Самарские коммунальные системы»          ________________      / Е.</w:t>
      </w:r>
      <w:r>
        <w:rPr>
          <w:rFonts w:eastAsia="Calibri"/>
          <w:color w:val="000000"/>
          <w:sz w:val="26"/>
          <w:szCs w:val="26"/>
          <w:lang w:eastAsia="en-US"/>
        </w:rPr>
        <w:t xml:space="preserve">Е. </w:t>
      </w:r>
      <w:proofErr w:type="spellStart"/>
      <w:r>
        <w:rPr>
          <w:rFonts w:eastAsia="Calibri"/>
          <w:color w:val="000000"/>
          <w:sz w:val="26"/>
          <w:szCs w:val="26"/>
          <w:lang w:eastAsia="en-US"/>
        </w:rPr>
        <w:t>Сачук</w:t>
      </w:r>
      <w:proofErr w:type="spellEnd"/>
      <w:r>
        <w:rPr>
          <w:rFonts w:eastAsia="Calibri"/>
          <w:color w:val="000000"/>
          <w:sz w:val="26"/>
          <w:szCs w:val="26"/>
          <w:lang w:eastAsia="en-US"/>
        </w:rPr>
        <w:t>/</w:t>
      </w:r>
    </w:p>
    <w:p w:rsidR="00433B17" w:rsidRDefault="00433B17" w:rsidP="00433B17">
      <w:pPr>
        <w:spacing w:after="200" w:line="276" w:lineRule="auto"/>
        <w:rPr>
          <w:bCs/>
          <w:iCs/>
          <w:color w:val="000000"/>
          <w:lang w:eastAsia="ru-RU"/>
        </w:rPr>
      </w:pPr>
    </w:p>
    <w:p w:rsidR="00A50779" w:rsidRDefault="00A50779"/>
    <w:sectPr w:rsidR="00A50779" w:rsidSect="00A507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3B17"/>
    <w:rsid w:val="00433B17"/>
    <w:rsid w:val="00A507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B1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7">
    <w:name w:val="Font Style17"/>
    <w:rsid w:val="00433B17"/>
    <w:rPr>
      <w:rFonts w:ascii="Times New Roman" w:hAnsi="Times New Roman" w:cs="Times New Roman"/>
      <w:sz w:val="22"/>
      <w:szCs w:val="22"/>
    </w:rPr>
  </w:style>
  <w:style w:type="paragraph" w:customStyle="1" w:styleId="ListParagraph">
    <w:name w:val="List Paragraph"/>
    <w:basedOn w:val="a"/>
    <w:rsid w:val="00433B17"/>
    <w:pPr>
      <w:ind w:left="720"/>
      <w:contextualSpacing/>
    </w:pPr>
  </w:style>
  <w:style w:type="paragraph" w:customStyle="1" w:styleId="Style2">
    <w:name w:val="Style2"/>
    <w:basedOn w:val="a"/>
    <w:rsid w:val="00433B17"/>
    <w:pPr>
      <w:widowControl w:val="0"/>
      <w:spacing w:line="276" w:lineRule="exact"/>
      <w:ind w:hanging="365"/>
      <w:jc w:val="both"/>
    </w:pPr>
  </w:style>
  <w:style w:type="paragraph" w:customStyle="1" w:styleId="Style3">
    <w:name w:val="Style3"/>
    <w:basedOn w:val="a"/>
    <w:rsid w:val="00433B17"/>
    <w:pPr>
      <w:widowControl w:val="0"/>
      <w:spacing w:line="317" w:lineRule="exact"/>
      <w:jc w:val="both"/>
    </w:pPr>
    <w:rPr>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999</Words>
  <Characters>5699</Characters>
  <Application>Microsoft Office Word</Application>
  <DocSecurity>0</DocSecurity>
  <Lines>47</Lines>
  <Paragraphs>13</Paragraphs>
  <ScaleCrop>false</ScaleCrop>
  <Company>Самарские Коммунальные Системы</Company>
  <LinksUpToDate>false</LinksUpToDate>
  <CharactersWithSpaces>6685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mPenkova</dc:creator>
  <cp:keywords/>
  <dc:description/>
  <cp:lastModifiedBy>mPenkova</cp:lastModifiedBy>
  <cp:revision>2</cp:revision>
  <dcterms:created xsi:type="dcterms:W3CDTF">2022-07-21T06:34:00Z</dcterms:created>
  <dcterms:modified xsi:type="dcterms:W3CDTF">2022-07-21T06:35:00Z</dcterms:modified>
</cp:coreProperties>
</file>